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5532C5" w:rsidRPr="005532C5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5532C5" w:rsidRPr="005532C5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CA6620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CA6620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5737D" w:rsidRPr="005532C5" w:rsidRDefault="0065737D" w:rsidP="00B347F6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CA6620">
        <w:rPr>
          <w:rFonts w:ascii="Arial" w:hAnsi="Arial" w:cs="Arial"/>
          <w:b/>
          <w:iCs/>
          <w:color w:val="161515"/>
          <w:lang w:val="uk-UA"/>
        </w:rPr>
        <w:t>Міжнародний благодійний фонд «Альянс громадсько</w:t>
      </w:r>
      <w:r w:rsidR="00B347F6">
        <w:rPr>
          <w:rFonts w:ascii="Arial" w:hAnsi="Arial" w:cs="Arial"/>
          <w:b/>
          <w:iCs/>
          <w:color w:val="161515"/>
          <w:lang w:val="uk-UA"/>
        </w:rPr>
        <w:t xml:space="preserve">го здоров’я» оголошує тендер </w:t>
      </w:r>
      <w:r w:rsidR="00B347F6" w:rsidRPr="00B347F6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5532C5">
        <w:rPr>
          <w:rFonts w:ascii="Arial" w:hAnsi="Arial" w:cs="Arial"/>
          <w:b/>
          <w:iCs/>
          <w:color w:val="161515"/>
          <w:lang w:val="uk-UA"/>
        </w:rPr>
        <w:t>портативних УЗД апаратів.</w:t>
      </w:r>
    </w:p>
    <w:p w:rsidR="0065737D" w:rsidRPr="00CA6620" w:rsidRDefault="0065737D" w:rsidP="0065737D">
      <w:pPr>
        <w:jc w:val="both"/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Умови проведення тендеру:</w:t>
      </w:r>
    </w:p>
    <w:p w:rsidR="00510865" w:rsidRPr="00510865" w:rsidRDefault="00510865" w:rsidP="00510865">
      <w:pPr>
        <w:jc w:val="both"/>
        <w:rPr>
          <w:rFonts w:ascii="Arial" w:hAnsi="Arial" w:cs="Arial"/>
          <w:iCs/>
          <w:color w:val="161515"/>
          <w:lang w:val="ru-RU"/>
        </w:rPr>
      </w:pPr>
      <w:r w:rsidRPr="00510865">
        <w:rPr>
          <w:rFonts w:ascii="Arial" w:hAnsi="Arial" w:cs="Arial"/>
          <w:iCs/>
          <w:color w:val="161515"/>
          <w:lang w:val="ru-RU"/>
        </w:rPr>
        <w:t>1. Надані учасниками тендеру комерційні пропозиції мають бути дійсними без змін впродовж не менш ніж 90 (дев’яносто) днів з дня їх подачі.</w:t>
      </w:r>
    </w:p>
    <w:p w:rsidR="00510865" w:rsidRPr="00510865" w:rsidRDefault="00510865" w:rsidP="00510865">
      <w:pPr>
        <w:jc w:val="both"/>
        <w:rPr>
          <w:rFonts w:ascii="Arial" w:hAnsi="Arial" w:cs="Arial"/>
          <w:iCs/>
          <w:color w:val="161515"/>
          <w:lang w:val="ru-RU"/>
        </w:rPr>
      </w:pPr>
      <w:r w:rsidRPr="00510865">
        <w:rPr>
          <w:rFonts w:ascii="Arial" w:hAnsi="Arial" w:cs="Arial"/>
          <w:iCs/>
          <w:color w:val="161515"/>
          <w:lang w:val="ru-RU"/>
        </w:rPr>
        <w:t>2. Ціни мають бути зазначені в доларах США, відповідно до вимог у специфікації.</w:t>
      </w:r>
    </w:p>
    <w:p w:rsidR="00510865" w:rsidRPr="00510865" w:rsidRDefault="00510865" w:rsidP="00510865">
      <w:pPr>
        <w:jc w:val="both"/>
        <w:rPr>
          <w:rFonts w:ascii="Arial" w:hAnsi="Arial" w:cs="Arial"/>
          <w:iCs/>
          <w:color w:val="161515"/>
          <w:lang w:val="ru-RU"/>
        </w:rPr>
      </w:pPr>
      <w:r w:rsidRPr="00510865">
        <w:rPr>
          <w:rFonts w:ascii="Arial" w:hAnsi="Arial" w:cs="Arial"/>
          <w:iCs/>
          <w:color w:val="161515"/>
          <w:lang w:val="ru-RU"/>
        </w:rPr>
        <w:t>3. Вимоги до послуг, строки надання та умови оплати детально викладені у специфікації.</w:t>
      </w:r>
    </w:p>
    <w:p w:rsidR="00510865" w:rsidRPr="00510865" w:rsidRDefault="00510865" w:rsidP="00510865">
      <w:pPr>
        <w:jc w:val="both"/>
        <w:rPr>
          <w:rFonts w:ascii="Arial" w:hAnsi="Arial" w:cs="Arial"/>
          <w:iCs/>
          <w:color w:val="161515"/>
          <w:lang w:val="ru-RU"/>
        </w:rPr>
      </w:pPr>
      <w:r w:rsidRPr="00510865">
        <w:rPr>
          <w:rFonts w:ascii="Arial" w:hAnsi="Arial" w:cs="Arial"/>
          <w:iCs/>
          <w:color w:val="161515"/>
          <w:lang w:val="ru-RU"/>
        </w:rPr>
        <w:t xml:space="preserve">4. </w:t>
      </w:r>
      <w:r w:rsidRPr="00510865">
        <w:rPr>
          <w:rFonts w:ascii="Arial" w:hAnsi="Arial" w:cs="Arial"/>
          <w:b/>
          <w:bCs/>
          <w:iCs/>
          <w:color w:val="161515"/>
          <w:lang w:val="ru-RU"/>
        </w:rPr>
        <w:t xml:space="preserve">Кінцевий термін подання тендерних пропозицій </w:t>
      </w:r>
      <w:r w:rsidRPr="00510865">
        <w:rPr>
          <w:rFonts w:ascii="Arial" w:hAnsi="Arial" w:cs="Arial"/>
          <w:iCs/>
          <w:color w:val="161515"/>
          <w:lang w:val="ru-RU"/>
        </w:rPr>
        <w:t xml:space="preserve">– не пізніше </w:t>
      </w:r>
      <w:r w:rsidRPr="00510865">
        <w:rPr>
          <w:rFonts w:ascii="Arial" w:hAnsi="Arial" w:cs="Arial"/>
          <w:b/>
          <w:iCs/>
          <w:color w:val="161515"/>
          <w:lang w:val="ru-RU"/>
        </w:rPr>
        <w:t>26 лютого 2026 року, 15:00 (</w:t>
      </w:r>
      <w:r>
        <w:rPr>
          <w:rFonts w:ascii="Arial" w:hAnsi="Arial" w:cs="Arial"/>
          <w:b/>
          <w:iCs/>
          <w:color w:val="161515"/>
        </w:rPr>
        <w:t>UTC</w:t>
      </w:r>
      <w:r>
        <w:rPr>
          <w:rFonts w:ascii="Arial" w:hAnsi="Arial" w:cs="Arial"/>
          <w:b/>
          <w:iCs/>
          <w:color w:val="161515"/>
          <w:lang w:val="ru-RU"/>
        </w:rPr>
        <w:t>+2) Ки</w:t>
      </w:r>
      <w:r w:rsidRPr="00510865">
        <w:rPr>
          <w:rFonts w:ascii="Arial" w:hAnsi="Arial" w:cs="Arial"/>
          <w:b/>
          <w:iCs/>
          <w:color w:val="161515"/>
          <w:lang w:val="ru-RU"/>
        </w:rPr>
        <w:t>їв</w:t>
      </w:r>
      <w:r w:rsidRPr="00510865">
        <w:rPr>
          <w:rFonts w:ascii="Arial" w:hAnsi="Arial" w:cs="Arial"/>
          <w:iCs/>
          <w:color w:val="161515"/>
          <w:lang w:val="ru-RU"/>
        </w:rPr>
        <w:t>. Всі пропозиції отримані після кінцевого терміну розгляду не підлягають.</w:t>
      </w:r>
    </w:p>
    <w:p w:rsidR="00510865" w:rsidRPr="00510865" w:rsidRDefault="00510865" w:rsidP="00510865">
      <w:pPr>
        <w:jc w:val="both"/>
        <w:rPr>
          <w:rFonts w:ascii="Arial" w:hAnsi="Arial" w:cs="Arial"/>
          <w:b/>
          <w:i/>
          <w:iCs/>
          <w:color w:val="161515"/>
          <w:lang w:val="ru-RU"/>
        </w:rPr>
      </w:pPr>
      <w:r w:rsidRPr="00510865">
        <w:rPr>
          <w:rFonts w:ascii="Arial" w:hAnsi="Arial" w:cs="Arial"/>
          <w:iCs/>
          <w:color w:val="161515"/>
          <w:lang w:val="ru-RU"/>
        </w:rPr>
        <w:t xml:space="preserve">5. </w:t>
      </w:r>
      <w:r w:rsidRPr="00510865">
        <w:rPr>
          <w:rFonts w:ascii="Arial" w:hAnsi="Arial" w:cs="Arial"/>
          <w:b/>
          <w:i/>
          <w:iCs/>
          <w:color w:val="161515"/>
          <w:lang w:val="ru-RU"/>
        </w:rPr>
        <w:t xml:space="preserve">Публічне розкриття пропозицій відбудеться: </w:t>
      </w:r>
      <w:r w:rsidRPr="00510865">
        <w:rPr>
          <w:rFonts w:ascii="Arial" w:hAnsi="Arial" w:cs="Arial"/>
          <w:b/>
          <w:iCs/>
          <w:color w:val="161515"/>
          <w:lang w:val="ru-RU"/>
        </w:rPr>
        <w:t>26 лютого 2026 року, 15:15 (</w:t>
      </w:r>
      <w:r>
        <w:rPr>
          <w:rFonts w:ascii="Arial" w:hAnsi="Arial" w:cs="Arial"/>
          <w:b/>
          <w:iCs/>
          <w:color w:val="161515"/>
        </w:rPr>
        <w:t>UTC</w:t>
      </w:r>
      <w:r w:rsidRPr="00510865">
        <w:rPr>
          <w:rFonts w:ascii="Arial" w:hAnsi="Arial" w:cs="Arial"/>
          <w:b/>
          <w:iCs/>
          <w:color w:val="161515"/>
          <w:lang w:val="ru-RU"/>
        </w:rPr>
        <w:t>+2) Київ</w:t>
      </w:r>
      <w:r w:rsidRPr="00510865">
        <w:rPr>
          <w:rFonts w:ascii="Arial" w:hAnsi="Arial" w:cs="Arial"/>
          <w:b/>
          <w:i/>
          <w:iCs/>
          <w:color w:val="161515"/>
          <w:lang w:val="ru-RU"/>
        </w:rPr>
        <w:t xml:space="preserve">, за допомогою телеконференції </w:t>
      </w:r>
      <w:r>
        <w:rPr>
          <w:rFonts w:ascii="Arial" w:hAnsi="Arial" w:cs="Arial"/>
          <w:b/>
          <w:i/>
          <w:iCs/>
          <w:color w:val="161515"/>
        </w:rPr>
        <w:t>ZOOM</w:t>
      </w:r>
      <w:r w:rsidRPr="00510865">
        <w:rPr>
          <w:rFonts w:ascii="Arial" w:hAnsi="Arial" w:cs="Arial"/>
          <w:b/>
          <w:i/>
          <w:iCs/>
          <w:color w:val="161515"/>
          <w:lang w:val="ru-RU"/>
        </w:rPr>
        <w:t>.</w:t>
      </w:r>
    </w:p>
    <w:p w:rsidR="00510865" w:rsidRPr="00510865" w:rsidRDefault="00510865" w:rsidP="00510865">
      <w:pPr>
        <w:pStyle w:val="ad"/>
        <w:numPr>
          <w:ilvl w:val="0"/>
          <w:numId w:val="4"/>
        </w:numPr>
        <w:spacing w:line="254" w:lineRule="auto"/>
        <w:jc w:val="both"/>
        <w:rPr>
          <w:rFonts w:ascii="Arial" w:hAnsi="Arial" w:cs="Arial"/>
          <w:iCs/>
          <w:color w:val="161515"/>
          <w:lang w:val="ru-RU"/>
        </w:rPr>
      </w:pPr>
      <w:r w:rsidRPr="00510865">
        <w:rPr>
          <w:rFonts w:ascii="Arial" w:hAnsi="Arial" w:cs="Arial"/>
          <w:iCs/>
          <w:color w:val="161515"/>
          <w:lang w:val="ru-RU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510865" w:rsidRPr="00510865" w:rsidRDefault="00510865" w:rsidP="00510865">
      <w:pPr>
        <w:pStyle w:val="ad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lang w:val="ru-RU"/>
        </w:rPr>
      </w:pPr>
      <w:r w:rsidRPr="00510865">
        <w:rPr>
          <w:rFonts w:ascii="Arial" w:hAnsi="Arial" w:cs="Arial"/>
          <w:lang w:val="ru-RU"/>
        </w:rPr>
        <w:t xml:space="preserve">на процедурі відкриття всі учасники надсилають в чат, або в месенджер фахівцю із закупівель, паролі </w:t>
      </w:r>
      <w:r>
        <w:rPr>
          <w:rFonts w:ascii="Arial" w:hAnsi="Arial" w:cs="Arial"/>
        </w:rPr>
        <w:t>ZIP</w:t>
      </w:r>
      <w:r>
        <w:rPr>
          <w:rFonts w:ascii="Arial" w:hAnsi="Arial" w:cs="Arial"/>
          <w:lang w:val="ru-RU"/>
        </w:rPr>
        <w:t xml:space="preserve"> </w:t>
      </w:r>
      <w:r w:rsidRPr="00510865">
        <w:rPr>
          <w:rFonts w:ascii="Arial" w:hAnsi="Arial" w:cs="Arial"/>
          <w:lang w:val="ru-RU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510865" w:rsidRPr="00510865" w:rsidRDefault="00510865" w:rsidP="00510865">
      <w:pPr>
        <w:jc w:val="both"/>
        <w:rPr>
          <w:rFonts w:ascii="Arial" w:hAnsi="Arial" w:cs="Arial"/>
          <w:iCs/>
          <w:color w:val="161515"/>
          <w:lang w:val="ru-RU"/>
        </w:rPr>
      </w:pPr>
      <w:r w:rsidRPr="00510865">
        <w:rPr>
          <w:rFonts w:ascii="Arial" w:hAnsi="Arial" w:cs="Arial"/>
          <w:iCs/>
          <w:color w:val="161515"/>
          <w:lang w:val="ru-RU"/>
        </w:rPr>
        <w:t>6. Ключові критерії оцінки конкурсних заявок наведені у Специфікації.</w:t>
      </w:r>
    </w:p>
    <w:p w:rsidR="00510865" w:rsidRPr="00510865" w:rsidRDefault="00510865" w:rsidP="00510865">
      <w:pPr>
        <w:jc w:val="both"/>
        <w:rPr>
          <w:rFonts w:ascii="Arial" w:hAnsi="Arial" w:cs="Arial"/>
          <w:iCs/>
          <w:color w:val="161515"/>
          <w:lang w:val="ru-RU"/>
        </w:rPr>
      </w:pPr>
      <w:r w:rsidRPr="00510865">
        <w:rPr>
          <w:rFonts w:ascii="Arial" w:hAnsi="Arial" w:cs="Arial"/>
          <w:iCs/>
          <w:color w:val="161515"/>
          <w:lang w:val="ru-RU"/>
        </w:rPr>
        <w:t>7. Переможця</w:t>
      </w:r>
      <w:r>
        <w:rPr>
          <w:rFonts w:ascii="Arial" w:hAnsi="Arial" w:cs="Arial"/>
          <w:iCs/>
          <w:color w:val="161515"/>
        </w:rPr>
        <w:t> </w:t>
      </w:r>
      <w:r w:rsidRPr="00510865">
        <w:rPr>
          <w:rFonts w:ascii="Arial" w:hAnsi="Arial" w:cs="Arial"/>
          <w:iCs/>
          <w:color w:val="161515"/>
          <w:lang w:val="ru-RU"/>
        </w:rPr>
        <w:t xml:space="preserve"> тендеру буде обрано на засіданні тендерного комітету, яке, як очікується, відбудеться не пізніше </w:t>
      </w:r>
      <w:r w:rsidRPr="00510865">
        <w:rPr>
          <w:rFonts w:ascii="Arial" w:hAnsi="Arial" w:cs="Arial"/>
          <w:b/>
          <w:iCs/>
          <w:color w:val="161515"/>
          <w:lang w:val="ru-RU"/>
        </w:rPr>
        <w:t>12 березня 2026 року</w:t>
      </w:r>
      <w:r w:rsidRPr="00510865">
        <w:rPr>
          <w:rFonts w:ascii="Arial" w:hAnsi="Arial" w:cs="Arial"/>
          <w:iCs/>
          <w:color w:val="161515"/>
          <w:lang w:val="ru-RU"/>
        </w:rPr>
        <w:t>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510865" w:rsidRPr="00510865" w:rsidRDefault="00510865" w:rsidP="00510865">
      <w:pPr>
        <w:jc w:val="both"/>
        <w:rPr>
          <w:rFonts w:ascii="Arial" w:hAnsi="Arial" w:cs="Arial"/>
          <w:lang w:val="ru-RU"/>
        </w:rPr>
      </w:pPr>
      <w:r w:rsidRPr="00510865">
        <w:rPr>
          <w:rFonts w:ascii="Arial" w:hAnsi="Arial" w:cs="Arial"/>
          <w:iCs/>
          <w:color w:val="161515"/>
          <w:lang w:val="ru-RU"/>
        </w:rPr>
        <w:t xml:space="preserve">8. Пропозиції </w:t>
      </w:r>
      <w:r w:rsidRPr="00510865">
        <w:rPr>
          <w:rFonts w:ascii="Arial" w:hAnsi="Arial" w:cs="Arial"/>
          <w:iCs/>
          <w:lang w:val="ru-RU"/>
        </w:rPr>
        <w:t>повинні</w:t>
      </w:r>
      <w:r>
        <w:rPr>
          <w:rFonts w:ascii="Arial" w:hAnsi="Arial" w:cs="Arial"/>
          <w:iCs/>
        </w:rPr>
        <w:t> </w:t>
      </w:r>
      <w:r w:rsidRPr="00510865">
        <w:rPr>
          <w:rFonts w:ascii="Arial" w:hAnsi="Arial" w:cs="Arial"/>
          <w:iCs/>
          <w:lang w:val="ru-RU"/>
        </w:rPr>
        <w:t xml:space="preserve">надсилатись в електронному вигляді (скани документів, заповнених додатків + Додаток 2 в </w:t>
      </w:r>
      <w:r>
        <w:rPr>
          <w:rFonts w:ascii="Arial" w:hAnsi="Arial" w:cs="Arial"/>
          <w:iCs/>
        </w:rPr>
        <w:t>excel</w:t>
      </w:r>
      <w:r>
        <w:rPr>
          <w:rFonts w:ascii="Arial" w:hAnsi="Arial" w:cs="Arial"/>
          <w:iCs/>
          <w:lang w:val="ru-RU"/>
        </w:rPr>
        <w:t xml:space="preserve">) </w:t>
      </w:r>
      <w:r w:rsidRPr="00510865">
        <w:rPr>
          <w:rFonts w:ascii="Arial" w:hAnsi="Arial" w:cs="Arial"/>
          <w:b/>
          <w:lang w:val="ru-RU"/>
        </w:rPr>
        <w:t>в запаролених</w:t>
      </w:r>
      <w:r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</w:rPr>
        <w:t>ZIP</w:t>
      </w:r>
      <w:r w:rsidRPr="00510865">
        <w:rPr>
          <w:rFonts w:ascii="Arial" w:hAnsi="Arial" w:cs="Arial"/>
          <w:b/>
          <w:lang w:val="ru-RU"/>
        </w:rPr>
        <w:t xml:space="preserve"> архівах</w:t>
      </w:r>
      <w:r>
        <w:rPr>
          <w:rFonts w:ascii="Arial" w:hAnsi="Arial" w:cs="Arial"/>
          <w:b/>
          <w:lang w:val="ru-RU"/>
        </w:rPr>
        <w:t xml:space="preserve"> </w:t>
      </w:r>
      <w:r w:rsidRPr="00510865">
        <w:rPr>
          <w:rFonts w:ascii="Arial" w:hAnsi="Arial" w:cs="Arial"/>
          <w:b/>
          <w:lang w:val="ru-RU"/>
        </w:rPr>
        <w:t>на окрему електрону скриньку</w:t>
      </w:r>
      <w:r w:rsidRPr="00510865">
        <w:rPr>
          <w:rFonts w:ascii="Arial" w:hAnsi="Arial" w:cs="Arial"/>
          <w:iCs/>
          <w:lang w:val="ru-RU"/>
        </w:rPr>
        <w:t xml:space="preserve"> </w:t>
      </w:r>
      <w:hyperlink r:id="rId8" w:history="1">
        <w:r>
          <w:rPr>
            <w:rStyle w:val="ab"/>
            <w:rFonts w:ascii="Arial" w:hAnsi="Arial" w:cs="Arial"/>
          </w:rPr>
          <w:t>tenders</w:t>
        </w:r>
        <w:r>
          <w:rPr>
            <w:rStyle w:val="ab"/>
            <w:rFonts w:ascii="Arial" w:hAnsi="Arial" w:cs="Arial"/>
            <w:lang w:val="ru-RU"/>
          </w:rPr>
          <w:t>@</w:t>
        </w:r>
        <w:r>
          <w:rPr>
            <w:rStyle w:val="ab"/>
            <w:rFonts w:ascii="Arial" w:hAnsi="Arial" w:cs="Arial"/>
          </w:rPr>
          <w:t>aph</w:t>
        </w:r>
        <w:r>
          <w:rPr>
            <w:rStyle w:val="ab"/>
            <w:rFonts w:ascii="Arial" w:hAnsi="Arial" w:cs="Arial"/>
            <w:lang w:val="ru-RU"/>
          </w:rPr>
          <w:t>.</w:t>
        </w:r>
        <w:r>
          <w:rPr>
            <w:rStyle w:val="ab"/>
            <w:rFonts w:ascii="Arial" w:hAnsi="Arial" w:cs="Arial"/>
          </w:rPr>
          <w:t>org</w:t>
        </w:r>
        <w:r>
          <w:rPr>
            <w:rStyle w:val="ab"/>
            <w:rFonts w:ascii="Arial" w:hAnsi="Arial" w:cs="Arial"/>
            <w:lang w:val="ru-RU"/>
          </w:rPr>
          <w:t>.</w:t>
        </w:r>
        <w:r>
          <w:rPr>
            <w:rStyle w:val="ab"/>
            <w:rFonts w:ascii="Arial" w:hAnsi="Arial" w:cs="Arial"/>
          </w:rPr>
          <w:t>ua</w:t>
        </w:r>
      </w:hyperlink>
      <w:r w:rsidRPr="00510865">
        <w:rPr>
          <w:rFonts w:ascii="Arial" w:hAnsi="Arial" w:cs="Arial"/>
          <w:lang w:val="ru-RU"/>
        </w:rPr>
        <w:t>.</w:t>
      </w:r>
    </w:p>
    <w:p w:rsidR="00510865" w:rsidRDefault="00510865" w:rsidP="00510865">
      <w:pPr>
        <w:jc w:val="both"/>
        <w:rPr>
          <w:rFonts w:ascii="Arial" w:hAnsi="Arial" w:cs="Arial"/>
          <w:u w:val="single"/>
          <w:lang w:val="ru-RU"/>
        </w:rPr>
      </w:pPr>
      <w:r w:rsidRPr="00510865">
        <w:rPr>
          <w:rFonts w:ascii="Arial" w:hAnsi="Arial" w:cs="Arial"/>
          <w:iCs/>
          <w:lang w:val="ru-RU"/>
        </w:rPr>
        <w:t>В темі листа обов’язково вказати:</w:t>
      </w:r>
      <w:r>
        <w:rPr>
          <w:rFonts w:ascii="Arial" w:hAnsi="Arial" w:cs="Arial"/>
          <w:iCs/>
          <w:lang w:val="ru-RU"/>
        </w:rPr>
        <w:t xml:space="preserve"> </w:t>
      </w:r>
      <w:r w:rsidRPr="00510865">
        <w:rPr>
          <w:rFonts w:ascii="Arial" w:hAnsi="Arial" w:cs="Arial"/>
          <w:u w:val="single"/>
          <w:lang w:val="ru-RU"/>
        </w:rPr>
        <w:t xml:space="preserve">До уваги: Крилової Тетяни, пропозиція по тендеру </w:t>
      </w:r>
      <w:r>
        <w:rPr>
          <w:rFonts w:ascii="Arial" w:hAnsi="Arial" w:cs="Arial"/>
          <w:u w:val="single"/>
        </w:rPr>
        <w:t>US</w:t>
      </w:r>
      <w:r>
        <w:rPr>
          <w:rFonts w:ascii="Arial" w:hAnsi="Arial" w:cs="Arial"/>
          <w:u w:val="single"/>
          <w:lang w:val="ru-RU"/>
        </w:rPr>
        <w:t>-02-26</w:t>
      </w:r>
    </w:p>
    <w:p w:rsidR="00510865" w:rsidRDefault="00510865" w:rsidP="00510865">
      <w:pPr>
        <w:pStyle w:val="ac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Паралельно з пропозицією відправити повідомлення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 xml:space="preserve">про відправлення цієї пропозиції на електрону адресу </w:t>
      </w:r>
      <w:hyperlink r:id="rId9" w:history="1">
        <w:r>
          <w:rPr>
            <w:rStyle w:val="ab"/>
            <w:rFonts w:ascii="Arial" w:hAnsi="Arial" w:cs="Arial"/>
            <w:sz w:val="22"/>
            <w:szCs w:val="22"/>
            <w:lang w:val="en-US"/>
          </w:rPr>
          <w:t>krylova</w:t>
        </w:r>
        <w:r>
          <w:rPr>
            <w:rStyle w:val="ab"/>
            <w:rFonts w:ascii="Arial" w:hAnsi="Arial" w:cs="Arial"/>
            <w:sz w:val="22"/>
            <w:szCs w:val="22"/>
          </w:rPr>
          <w:t>@</w:t>
        </w:r>
        <w:r>
          <w:rPr>
            <w:rStyle w:val="ab"/>
            <w:rFonts w:ascii="Arial" w:hAnsi="Arial" w:cs="Arial"/>
            <w:sz w:val="22"/>
            <w:szCs w:val="22"/>
            <w:lang w:val="en-US"/>
          </w:rPr>
          <w:t>aph</w:t>
        </w:r>
        <w:r>
          <w:rPr>
            <w:rStyle w:val="ab"/>
            <w:rFonts w:ascii="Arial" w:hAnsi="Arial" w:cs="Arial"/>
            <w:sz w:val="22"/>
            <w:szCs w:val="22"/>
          </w:rPr>
          <w:t>.</w:t>
        </w:r>
        <w:r>
          <w:rPr>
            <w:rStyle w:val="ab"/>
            <w:rFonts w:ascii="Arial" w:hAnsi="Arial" w:cs="Arial"/>
            <w:sz w:val="22"/>
            <w:szCs w:val="22"/>
            <w:lang w:val="en-US"/>
          </w:rPr>
          <w:t>org</w:t>
        </w:r>
        <w:r>
          <w:rPr>
            <w:rStyle w:val="ab"/>
            <w:rFonts w:ascii="Arial" w:hAnsi="Arial" w:cs="Arial"/>
            <w:sz w:val="22"/>
            <w:szCs w:val="22"/>
          </w:rPr>
          <w:t>.</w:t>
        </w:r>
        <w:r>
          <w:rPr>
            <w:rStyle w:val="ab"/>
            <w:rFonts w:ascii="Arial" w:hAnsi="Arial" w:cs="Arial"/>
            <w:sz w:val="22"/>
            <w:szCs w:val="22"/>
            <w:lang w:val="en-US"/>
          </w:rPr>
          <w:t>ua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>:</w:t>
      </w:r>
    </w:p>
    <w:p w:rsidR="00510865" w:rsidRDefault="00510865" w:rsidP="00510865">
      <w:pPr>
        <w:jc w:val="both"/>
        <w:rPr>
          <w:rFonts w:ascii="Arial" w:eastAsia="Arial" w:hAnsi="Arial" w:cs="Arial"/>
          <w:i/>
          <w:lang w:val="uk-UA"/>
        </w:rPr>
      </w:pPr>
      <w:r w:rsidRPr="00510865">
        <w:rPr>
          <w:rFonts w:ascii="Arial" w:hAnsi="Arial" w:cs="Arial"/>
          <w:i/>
          <w:iCs/>
          <w:lang w:val="ru-RU" w:eastAsia="uk-UA"/>
        </w:rPr>
        <w:t xml:space="preserve">ТОВ «_______» </w:t>
      </w:r>
      <w:r w:rsidRPr="00510865">
        <w:rPr>
          <w:rFonts w:ascii="Arial" w:hAnsi="Arial" w:cs="Arial"/>
          <w:i/>
          <w:lang w:val="ru-RU"/>
        </w:rPr>
        <w:t xml:space="preserve"> надіслав цінову пропозицію по тендеру</w:t>
      </w:r>
      <w:r>
        <w:rPr>
          <w:rFonts w:ascii="Arial" w:hAnsi="Arial" w:cs="Arial"/>
          <w:i/>
          <w:lang w:val="ru-RU"/>
        </w:rPr>
        <w:t xml:space="preserve"> на закупівлю портативних УЗД апаратів   _дата. час</w:t>
      </w:r>
      <w:r w:rsidRPr="00510865">
        <w:rPr>
          <w:rFonts w:ascii="Arial" w:hAnsi="Arial" w:cs="Arial"/>
          <w:i/>
          <w:u w:val="single"/>
          <w:lang w:val="ru-RU"/>
        </w:rPr>
        <w:t xml:space="preserve">    </w:t>
      </w:r>
      <w:r w:rsidRPr="00510865">
        <w:rPr>
          <w:rFonts w:ascii="Arial" w:hAnsi="Arial" w:cs="Arial"/>
          <w:i/>
          <w:lang w:val="ru-RU"/>
        </w:rPr>
        <w:t>.</w:t>
      </w:r>
    </w:p>
    <w:p w:rsidR="00510865" w:rsidRDefault="00510865" w:rsidP="00510865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>
        <w:rPr>
          <w:rFonts w:ascii="Arial" w:hAnsi="Arial" w:cs="Arial"/>
          <w:iCs/>
          <w:sz w:val="22"/>
          <w:szCs w:val="22"/>
          <w:lang w:val="uk-UA"/>
        </w:rPr>
        <w:t>9. МБФ “</w:t>
      </w:r>
      <w:r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510865" w:rsidRDefault="00510865" w:rsidP="00510865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>
        <w:rPr>
          <w:rFonts w:ascii="Arial" w:hAnsi="Arial" w:cs="Arial"/>
          <w:iCs/>
          <w:sz w:val="22"/>
          <w:szCs w:val="22"/>
          <w:lang w:val="uk-UA"/>
        </w:rPr>
        <w:t>10. МБФ “</w:t>
      </w:r>
      <w:r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>
        <w:rPr>
          <w:rFonts w:ascii="Arial" w:hAnsi="Arial" w:cs="Arial"/>
          <w:iCs/>
          <w:sz w:val="22"/>
          <w:szCs w:val="22"/>
          <w:lang w:val="uk-UA"/>
        </w:rPr>
        <w:t>"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510865" w:rsidRDefault="00510865" w:rsidP="00510865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  <w:lang w:val="uk-UA"/>
        </w:rPr>
        <w:t>11. МБФ “</w:t>
      </w:r>
      <w:r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510865" w:rsidRDefault="00510865" w:rsidP="00510865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</w:p>
    <w:p w:rsidR="00510865" w:rsidRPr="00510865" w:rsidRDefault="00510865" w:rsidP="00510865">
      <w:pPr>
        <w:jc w:val="both"/>
        <w:rPr>
          <w:rFonts w:ascii="Arial" w:hAnsi="Arial" w:cs="Arial"/>
          <w:iCs/>
          <w:lang w:val="ru-RU"/>
        </w:rPr>
      </w:pPr>
      <w:r w:rsidRPr="00510865">
        <w:rPr>
          <w:rFonts w:ascii="Arial" w:hAnsi="Arial" w:cs="Arial"/>
          <w:iCs/>
          <w:lang w:val="ru-RU"/>
        </w:rPr>
        <w:lastRenderedPageBreak/>
        <w:t xml:space="preserve">Будь-які питання стосовно цього тендера мають бути подані виключно в електронному форматі на адресу електронної пошти: </w:t>
      </w:r>
      <w:hyperlink r:id="rId10" w:history="1">
        <w:r>
          <w:rPr>
            <w:rStyle w:val="ab"/>
            <w:rFonts w:ascii="Arial" w:hAnsi="Arial" w:cs="Arial"/>
          </w:rPr>
          <w:t>krylova</w:t>
        </w:r>
        <w:r>
          <w:rPr>
            <w:rStyle w:val="ab"/>
            <w:rFonts w:ascii="Arial" w:hAnsi="Arial" w:cs="Arial"/>
            <w:lang w:val="ru-RU"/>
          </w:rPr>
          <w:t>@</w:t>
        </w:r>
        <w:r>
          <w:rPr>
            <w:rStyle w:val="ab"/>
            <w:rFonts w:ascii="Arial" w:hAnsi="Arial" w:cs="Arial"/>
          </w:rPr>
          <w:t>aph</w:t>
        </w:r>
        <w:r>
          <w:rPr>
            <w:rStyle w:val="ab"/>
            <w:rFonts w:ascii="Arial" w:hAnsi="Arial" w:cs="Arial"/>
            <w:lang w:val="ru-RU"/>
          </w:rPr>
          <w:t>.</w:t>
        </w:r>
        <w:r>
          <w:rPr>
            <w:rStyle w:val="ab"/>
            <w:rFonts w:ascii="Arial" w:hAnsi="Arial" w:cs="Arial"/>
          </w:rPr>
          <w:t>org</w:t>
        </w:r>
        <w:r>
          <w:rPr>
            <w:rStyle w:val="ab"/>
            <w:rFonts w:ascii="Arial" w:hAnsi="Arial" w:cs="Arial"/>
            <w:lang w:val="ru-RU"/>
          </w:rPr>
          <w:t>.</w:t>
        </w:r>
        <w:r>
          <w:rPr>
            <w:rStyle w:val="ab"/>
            <w:rFonts w:ascii="Arial" w:hAnsi="Arial" w:cs="Arial"/>
          </w:rPr>
          <w:t>ua</w:t>
        </w:r>
      </w:hyperlink>
      <w:r w:rsidRPr="00510865">
        <w:rPr>
          <w:rFonts w:ascii="Arial" w:hAnsi="Arial" w:cs="Arial"/>
          <w:lang w:val="ru-RU"/>
        </w:rPr>
        <w:t>.</w:t>
      </w:r>
    </w:p>
    <w:p w:rsidR="00510865" w:rsidRPr="00510865" w:rsidRDefault="00510865" w:rsidP="00510865">
      <w:pPr>
        <w:jc w:val="both"/>
        <w:rPr>
          <w:rFonts w:ascii="Arial" w:hAnsi="Arial" w:cs="Arial"/>
          <w:iCs/>
          <w:lang w:val="ru-RU"/>
        </w:rPr>
      </w:pPr>
      <w:r w:rsidRPr="00510865">
        <w:rPr>
          <w:rFonts w:ascii="Arial" w:hAnsi="Arial" w:cs="Arial"/>
          <w:iCs/>
          <w:lang w:val="ru-RU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510865" w:rsidRDefault="00510865" w:rsidP="00510865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510865" w:rsidRDefault="00510865" w:rsidP="00510865">
      <w:pPr>
        <w:jc w:val="both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</w:rPr>
        <w:t xml:space="preserve">Додатки: </w:t>
      </w:r>
    </w:p>
    <w:p w:rsidR="00510865" w:rsidRDefault="00510865" w:rsidP="00510865">
      <w:pPr>
        <w:pStyle w:val="ad"/>
        <w:numPr>
          <w:ilvl w:val="0"/>
          <w:numId w:val="3"/>
        </w:numPr>
        <w:spacing w:line="254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Оголошення</w:t>
      </w:r>
    </w:p>
    <w:p w:rsidR="00510865" w:rsidRDefault="00510865" w:rsidP="00510865">
      <w:pPr>
        <w:pStyle w:val="ad"/>
        <w:numPr>
          <w:ilvl w:val="0"/>
          <w:numId w:val="3"/>
        </w:numPr>
        <w:spacing w:line="254" w:lineRule="auto"/>
        <w:jc w:val="both"/>
        <w:rPr>
          <w:rFonts w:ascii="Arial" w:hAnsi="Arial" w:cs="Arial"/>
          <w:iCs/>
        </w:rPr>
      </w:pPr>
      <w:r>
        <w:rPr>
          <w:rFonts w:ascii="Arial" w:eastAsia="Times New Roman" w:hAnsi="Arial" w:cs="Arial"/>
          <w:iCs/>
        </w:rPr>
        <w:t>Специфікація з відповідними додатками.</w:t>
      </w:r>
    </w:p>
    <w:p w:rsidR="00510865" w:rsidRDefault="00510865" w:rsidP="00510865">
      <w:pPr>
        <w:pStyle w:val="ad"/>
        <w:numPr>
          <w:ilvl w:val="0"/>
          <w:numId w:val="3"/>
        </w:numPr>
        <w:spacing w:line="254" w:lineRule="auto"/>
        <w:jc w:val="both"/>
        <w:rPr>
          <w:rFonts w:ascii="Arial" w:hAnsi="Arial" w:cs="Arial"/>
          <w:iCs/>
        </w:rPr>
      </w:pPr>
      <w:r>
        <w:rPr>
          <w:rFonts w:ascii="Arial" w:eastAsia="Times New Roman" w:hAnsi="Arial" w:cs="Arial"/>
          <w:iCs/>
        </w:rPr>
        <w:t>Проект договору</w:t>
      </w:r>
    </w:p>
    <w:p w:rsidR="00510865" w:rsidRDefault="00510865" w:rsidP="00510865">
      <w:pPr>
        <w:jc w:val="both"/>
        <w:rPr>
          <w:rFonts w:ascii="Arial" w:hAnsi="Arial" w:cs="Arial"/>
          <w:iCs/>
          <w:color w:val="161515"/>
        </w:rPr>
      </w:pPr>
    </w:p>
    <w:p w:rsidR="00510865" w:rsidRDefault="00510865" w:rsidP="00510865">
      <w:pPr>
        <w:rPr>
          <w:rFonts w:ascii="Arial" w:hAnsi="Arial" w:cs="Arial"/>
          <w:iCs/>
          <w:lang w:val="ru-RU"/>
        </w:rPr>
      </w:pPr>
      <w:r w:rsidRPr="00510865">
        <w:rPr>
          <w:rFonts w:ascii="Arial" w:hAnsi="Arial" w:cs="Arial"/>
          <w:b/>
          <w:bCs/>
          <w:iCs/>
          <w:color w:val="161515"/>
          <w:lang w:val="ru-RU"/>
        </w:rPr>
        <w:t>Будь ласка, сповістіть про</w:t>
      </w:r>
      <w:r>
        <w:rPr>
          <w:rFonts w:ascii="Arial" w:hAnsi="Arial" w:cs="Arial"/>
          <w:b/>
          <w:bCs/>
          <w:iCs/>
          <w:color w:val="161515"/>
        </w:rPr>
        <w:t> </w:t>
      </w:r>
      <w:r w:rsidRPr="00510865">
        <w:rPr>
          <w:rFonts w:ascii="Arial" w:hAnsi="Arial" w:cs="Arial"/>
          <w:b/>
          <w:bCs/>
          <w:iCs/>
          <w:color w:val="161515"/>
          <w:lang w:val="ru-RU"/>
        </w:rPr>
        <w:t xml:space="preserve">отримання цього оголошення та про ваш намір приймати </w:t>
      </w:r>
      <w:bookmarkStart w:id="0" w:name="_GoBack"/>
      <w:bookmarkEnd w:id="0"/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65737D" w:rsidRPr="00933B29" w:rsidRDefault="0065737D" w:rsidP="0065737D">
      <w:pPr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Будь ласка, сповістіть про отримання цього оголошення</w:t>
      </w:r>
      <w:r>
        <w:rPr>
          <w:rFonts w:ascii="Arial" w:hAnsi="Arial" w:cs="Arial"/>
          <w:b/>
          <w:bCs/>
          <w:iCs/>
          <w:color w:val="161515"/>
          <w:lang w:val="uk-UA"/>
        </w:rPr>
        <w:t xml:space="preserve"> та про ваш намір приймати участь у даному тендері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</w:rPr>
      </w:pPr>
      <w:r w:rsidRPr="00933B29">
        <w:rPr>
          <w:rFonts w:ascii="Arial" w:hAnsi="Arial" w:cs="Arial"/>
          <w:iCs/>
          <w:lang w:val="uk-UA"/>
        </w:rPr>
        <w:t>Дякуємо за співпрацю.</w:t>
      </w:r>
    </w:p>
    <w:p w:rsidR="0065737D" w:rsidRDefault="0065737D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6A2A67" w:rsidRPr="00FA7478" w:rsidRDefault="006A2A67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r w:rsidRPr="00FA7478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6A2A67" w:rsidRPr="00FA7478" w:rsidRDefault="006A2A67" w:rsidP="006A2A67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6205E4" w:rsidRDefault="006205E4" w:rsidP="006205E4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 xml:space="preserve">Tetiana Krylova  </w:t>
      </w:r>
    </w:p>
    <w:p w:rsidR="006205E4" w:rsidRDefault="006205E4" w:rsidP="006205E4">
      <w:pPr>
        <w:spacing w:after="40" w:line="360" w:lineRule="auto"/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  <w:t>Senior Procurement Officer</w:t>
      </w:r>
    </w:p>
    <w:p w:rsidR="006205E4" w:rsidRDefault="006205E4" w:rsidP="006205E4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ru-RU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0575"/>
            <wp:effectExtent l="0" t="0" r="0" b="9525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5E4" w:rsidRDefault="006205E4" w:rsidP="006205E4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>Alliance for Public Health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Renaissance Business Center, Block 3, 2nd floor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Mob: (+380 50) 651-5210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</w:p>
    <w:p w:rsidR="006205E4" w:rsidRDefault="006205E4" w:rsidP="006205E4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krylova@aph.org.ua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6205E4" w:rsidRDefault="006205E4" w:rsidP="006205E4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</w:p>
    <w:p w:rsidR="006A2A67" w:rsidRPr="004E7D32" w:rsidRDefault="006A2A67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D82" w:rsidRDefault="00BD3D82" w:rsidP="0088387C">
      <w:pPr>
        <w:spacing w:after="0" w:line="240" w:lineRule="auto"/>
      </w:pPr>
      <w:r>
        <w:separator/>
      </w:r>
    </w:p>
  </w:endnote>
  <w:endnote w:type="continuationSeparator" w:id="0">
    <w:p w:rsidR="00BD3D82" w:rsidRDefault="00BD3D82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D82" w:rsidRDefault="00BD3D82" w:rsidP="0088387C">
      <w:pPr>
        <w:spacing w:after="0" w:line="240" w:lineRule="auto"/>
      </w:pPr>
      <w:r>
        <w:separator/>
      </w:r>
    </w:p>
  </w:footnote>
  <w:footnote w:type="continuationSeparator" w:id="0">
    <w:p w:rsidR="00BD3D82" w:rsidRDefault="00BD3D82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37161"/>
    <w:rsid w:val="00153123"/>
    <w:rsid w:val="001722A9"/>
    <w:rsid w:val="00181615"/>
    <w:rsid w:val="001C0763"/>
    <w:rsid w:val="002747E9"/>
    <w:rsid w:val="003201E0"/>
    <w:rsid w:val="00395BDF"/>
    <w:rsid w:val="003B25C2"/>
    <w:rsid w:val="003B274E"/>
    <w:rsid w:val="003D062C"/>
    <w:rsid w:val="003D6F9C"/>
    <w:rsid w:val="0040643F"/>
    <w:rsid w:val="00510865"/>
    <w:rsid w:val="00546C04"/>
    <w:rsid w:val="005532C5"/>
    <w:rsid w:val="00557350"/>
    <w:rsid w:val="0057601A"/>
    <w:rsid w:val="0057765A"/>
    <w:rsid w:val="00577FF6"/>
    <w:rsid w:val="00587065"/>
    <w:rsid w:val="006205E4"/>
    <w:rsid w:val="0065737D"/>
    <w:rsid w:val="006A2A67"/>
    <w:rsid w:val="006C3A24"/>
    <w:rsid w:val="007220AA"/>
    <w:rsid w:val="00766D21"/>
    <w:rsid w:val="0078118F"/>
    <w:rsid w:val="00781E82"/>
    <w:rsid w:val="007A2AD4"/>
    <w:rsid w:val="007C0B62"/>
    <w:rsid w:val="0083633C"/>
    <w:rsid w:val="0088387C"/>
    <w:rsid w:val="008B4EAE"/>
    <w:rsid w:val="008E548D"/>
    <w:rsid w:val="0091449D"/>
    <w:rsid w:val="00991A7A"/>
    <w:rsid w:val="00AC6A8A"/>
    <w:rsid w:val="00B16B37"/>
    <w:rsid w:val="00B347F6"/>
    <w:rsid w:val="00BD3D82"/>
    <w:rsid w:val="00BD7CFF"/>
    <w:rsid w:val="00C033CD"/>
    <w:rsid w:val="00C46328"/>
    <w:rsid w:val="00C51FA0"/>
    <w:rsid w:val="00C574EC"/>
    <w:rsid w:val="00CA1CA1"/>
    <w:rsid w:val="00CA76B0"/>
    <w:rsid w:val="00D0156E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а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ryl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2591</Words>
  <Characters>1477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6</cp:revision>
  <cp:lastPrinted>2015-12-11T16:23:00Z</cp:lastPrinted>
  <dcterms:created xsi:type="dcterms:W3CDTF">2025-02-17T14:43:00Z</dcterms:created>
  <dcterms:modified xsi:type="dcterms:W3CDTF">2026-02-05T14:06:00Z</dcterms:modified>
</cp:coreProperties>
</file>